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196F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3</w:t>
      </w:r>
    </w:p>
    <w:p w14:paraId="3C33CB68">
      <w:pPr>
        <w:ind w:firstLine="880" w:firstLineChars="20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第七届中华经典诵写讲大赛</w:t>
      </w:r>
    </w:p>
    <w:p w14:paraId="4437332D">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“诗教中国”诗词讲解大赛方案</w:t>
      </w:r>
    </w:p>
    <w:bookmarkEnd w:id="0"/>
    <w:p w14:paraId="0767228C">
      <w:pPr>
        <w:ind w:firstLine="640" w:firstLineChars="200"/>
        <w:rPr>
          <w:rFonts w:hint="eastAsia" w:ascii="黑体" w:hAnsi="黑体" w:eastAsia="黑体" w:cs="黑体"/>
          <w:sz w:val="32"/>
          <w:szCs w:val="32"/>
        </w:rPr>
      </w:pPr>
      <w:r>
        <w:rPr>
          <w:rFonts w:hint="eastAsia" w:ascii="黑体" w:hAnsi="黑体" w:eastAsia="黑体" w:cs="黑体"/>
          <w:sz w:val="32"/>
          <w:szCs w:val="32"/>
        </w:rPr>
        <w:t>一、参赛对象与组别</w:t>
      </w:r>
    </w:p>
    <w:p w14:paraId="1A68E6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参赛对象为全国在校大中小学生、留学生及全国大中小学校在职教师。</w:t>
      </w:r>
    </w:p>
    <w:p w14:paraId="5D69FE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分为小学教师组、中学教师组（含中职教师）、大学教师组（含高职教师、博士后）、小学生组、中学生组、职业学校学生组(含中职、高职学生)、大学生组（含研究生）、留学生组（在华外国留学生），共 8 个组别。</w:t>
      </w:r>
    </w:p>
    <w:p w14:paraId="230E1159">
      <w:pPr>
        <w:ind w:firstLine="640" w:firstLineChars="200"/>
        <w:rPr>
          <w:rFonts w:hint="eastAsia" w:ascii="黑体" w:hAnsi="黑体" w:eastAsia="黑体" w:cs="黑体"/>
          <w:sz w:val="32"/>
          <w:szCs w:val="32"/>
        </w:rPr>
      </w:pPr>
      <w:r>
        <w:rPr>
          <w:rFonts w:hint="eastAsia" w:ascii="黑体" w:hAnsi="黑体" w:eastAsia="黑体" w:cs="黑体"/>
          <w:sz w:val="32"/>
          <w:szCs w:val="32"/>
        </w:rPr>
        <w:t>二、参赛要求</w:t>
      </w:r>
    </w:p>
    <w:p w14:paraId="4EB213DC">
      <w:pPr>
        <w:ind w:firstLine="640" w:firstLineChars="200"/>
        <w:rPr>
          <w:rFonts w:hint="eastAsia" w:ascii="楷体" w:hAnsi="楷体" w:eastAsia="楷体" w:cs="楷体"/>
          <w:sz w:val="32"/>
          <w:szCs w:val="32"/>
        </w:rPr>
      </w:pPr>
      <w:r>
        <w:rPr>
          <w:rFonts w:hint="eastAsia" w:ascii="楷体" w:hAnsi="楷体" w:eastAsia="楷体" w:cs="楷体"/>
          <w:sz w:val="32"/>
          <w:szCs w:val="32"/>
        </w:rPr>
        <w:t>（一）内容要求。</w:t>
      </w:r>
    </w:p>
    <w:p w14:paraId="425629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讲解须使用国家通用语言文字，内容应选自中小学（含中职）统编语文教材、普通高等教育国家级规划教材及高等职业教育国家规划教材的大学语文教材中的一首经典诗词作品。</w:t>
      </w:r>
    </w:p>
    <w:p w14:paraId="5DC8E6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参赛教师应广泛阅读相关书籍，按照课堂教学相关要求，遵循诗词教育基本规律和学术规范，录制以诗词教学为主要内容的微课视频。</w:t>
      </w:r>
    </w:p>
    <w:p w14:paraId="2493BD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参赛学生应广泛阅读相关书籍，结合个人经历与感受，讲解诗词作品，并阐述诗词的意义与价值，使用多媒体及其他创新形式录制讲解视频。</w:t>
      </w:r>
    </w:p>
    <w:p w14:paraId="3B584A71">
      <w:pPr>
        <w:ind w:firstLine="640" w:firstLineChars="200"/>
        <w:rPr>
          <w:rFonts w:hint="eastAsia" w:ascii="楷体" w:hAnsi="楷体" w:eastAsia="楷体" w:cs="楷体"/>
          <w:sz w:val="32"/>
          <w:szCs w:val="32"/>
        </w:rPr>
      </w:pPr>
      <w:r>
        <w:rPr>
          <w:rFonts w:hint="eastAsia" w:ascii="楷体" w:hAnsi="楷体" w:eastAsia="楷体" w:cs="楷体"/>
          <w:sz w:val="32"/>
          <w:szCs w:val="32"/>
        </w:rPr>
        <w:t>（二）形式要求。</w:t>
      </w:r>
    </w:p>
    <w:p w14:paraId="367A5F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参赛作品要求为 2025 年新创作录制的视频，横屏拍摄，格式为 MP4。教师组视频长度为 8 分钟以内，学生组视频长度为 5分钟以内。视频清晰度不低于 720P，大小不超过 700MB，图像、声音清晰，不抖动、无噪声，参赛者须出镜。</w:t>
      </w:r>
    </w:p>
    <w:p w14:paraId="772C149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视频开头以文字方式展示作品名称、组别、诗词题目等信息。</w:t>
      </w:r>
    </w:p>
    <w:p w14:paraId="40B62AB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须正确、规范，与赛项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23A554B9">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（三）提交要求</w:t>
      </w:r>
      <w:r>
        <w:rPr>
          <w:rFonts w:hint="eastAsia" w:ascii="仿宋_GB2312" w:hAnsi="仿宋_GB2312" w:eastAsia="仿宋_GB2312" w:cs="仿宋_GB2312"/>
          <w:sz w:val="32"/>
          <w:szCs w:val="32"/>
        </w:rPr>
        <w:t>。</w:t>
      </w:r>
    </w:p>
    <w:p w14:paraId="121714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每人限报 1 件作品，限报 1 名指导教师。同一作品的参赛者不得同时署名该作品的指导教师。指导多个作品获奖的指导教师不重复获得优秀指导教师奖。</w:t>
      </w:r>
    </w:p>
    <w:p w14:paraId="721615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参赛者应使用规范汉字准确填写姓名、作品名称、所在单位或学校等信息。作品提交日期截止后，相关信息不得更改。</w:t>
      </w:r>
    </w:p>
    <w:p w14:paraId="4A988C10">
      <w:pPr>
        <w:ind w:firstLine="640" w:firstLineChars="200"/>
        <w:rPr>
          <w:rFonts w:hint="eastAsia" w:ascii="黑体" w:hAnsi="黑体" w:eastAsia="黑体" w:cs="黑体"/>
          <w:sz w:val="32"/>
          <w:szCs w:val="32"/>
        </w:rPr>
      </w:pPr>
      <w:r>
        <w:rPr>
          <w:rFonts w:hint="eastAsia" w:ascii="黑体" w:hAnsi="黑体" w:eastAsia="黑体" w:cs="黑体"/>
          <w:sz w:val="32"/>
          <w:szCs w:val="32"/>
        </w:rPr>
        <w:t>三、赛程安排</w:t>
      </w:r>
    </w:p>
    <w:p w14:paraId="554EDD3D">
      <w:pPr>
        <w:ind w:firstLine="640" w:firstLineChars="200"/>
        <w:rPr>
          <w:rFonts w:hint="eastAsia" w:ascii="楷体" w:hAnsi="楷体" w:eastAsia="楷体" w:cs="楷体"/>
          <w:sz w:val="32"/>
          <w:szCs w:val="32"/>
        </w:rPr>
      </w:pPr>
      <w:r>
        <w:rPr>
          <w:rFonts w:hint="eastAsia" w:ascii="楷体" w:hAnsi="楷体" w:eastAsia="楷体" w:cs="楷体"/>
          <w:sz w:val="32"/>
          <w:szCs w:val="32"/>
        </w:rPr>
        <w:t>（一）初赛：2025 年 5 月 31 日前。</w:t>
      </w:r>
    </w:p>
    <w:p w14:paraId="713252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参赛者登录大赛网站官网（https://jdsxj.eduyun .cn）自主报名参赛。参赛者按照参赛指引自行完成语言文字知识及诗词常识初赛测评。每人可进行多次测评，系统确定最高分为最终成绩（初赛测评成绩不计入复赛），60 分以上为测评合格，测评合格者方可在大赛官网提交参赛作品视频，时间截至 5 月31 日 24:00。</w:t>
      </w:r>
    </w:p>
    <w:p w14:paraId="3AA4C2D9">
      <w:pPr>
        <w:ind w:firstLine="640" w:firstLineChars="200"/>
        <w:rPr>
          <w:rFonts w:hint="eastAsia" w:ascii="楷体" w:hAnsi="楷体" w:eastAsia="楷体" w:cs="楷体"/>
          <w:sz w:val="32"/>
          <w:szCs w:val="32"/>
        </w:rPr>
      </w:pPr>
      <w:r>
        <w:rPr>
          <w:rFonts w:hint="eastAsia" w:ascii="楷体" w:hAnsi="楷体" w:eastAsia="楷体" w:cs="楷体"/>
          <w:sz w:val="32"/>
          <w:szCs w:val="32"/>
        </w:rPr>
        <w:t>（二）复赛：2025 年 7 月 15 日前。</w:t>
      </w:r>
    </w:p>
    <w:p w14:paraId="7B6844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分赛项执委会组织专家评审，按参赛作品评审成绩确定入围决赛的参赛者（入围比例不超过 10%），于 7 月 15 日前确定入围决赛的作品。</w:t>
      </w:r>
    </w:p>
    <w:p w14:paraId="4E5CC3D7">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（三）决赛：2025 年 9 月 30 日前。</w:t>
      </w:r>
    </w:p>
    <w:p w14:paraId="0651E6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分为半决赛和总决赛。半决赛由分赛项执委会组织专家对入围作品进行评审，在符合大赛要求的前提下，根据成绩排序，确定获得三等奖和优秀奖的作品。总决赛通过现场比赛方式（时间地点另行通知）确定一等奖和二等奖作品。</w:t>
      </w:r>
    </w:p>
    <w:p w14:paraId="6A4FCCC3">
      <w:pPr>
        <w:ind w:firstLine="640" w:firstLineChars="200"/>
        <w:rPr>
          <w:rFonts w:hint="eastAsia" w:ascii="楷体" w:hAnsi="楷体" w:eastAsia="楷体" w:cs="楷体"/>
          <w:sz w:val="32"/>
          <w:szCs w:val="32"/>
        </w:rPr>
      </w:pPr>
      <w:r>
        <w:rPr>
          <w:rFonts w:hint="eastAsia" w:ascii="楷体" w:hAnsi="楷体" w:eastAsia="楷体" w:cs="楷体"/>
          <w:sz w:val="32"/>
          <w:szCs w:val="32"/>
        </w:rPr>
        <w:t>（四）展示：2025 年 10 月至 12 月。</w:t>
      </w:r>
    </w:p>
    <w:p w14:paraId="55C136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优秀作品将在相关媒体平台进行展示，部分获奖选手将</w:t>
      </w:r>
    </w:p>
    <w:p w14:paraId="6BFA66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参与线上线下专题展示。</w:t>
      </w:r>
    </w:p>
    <w:p w14:paraId="4A6A7C3A">
      <w:pPr>
        <w:ind w:firstLine="640" w:firstLineChars="200"/>
        <w:rPr>
          <w:rFonts w:hint="eastAsia" w:ascii="黑体" w:hAnsi="黑体" w:eastAsia="黑体" w:cs="黑体"/>
          <w:sz w:val="32"/>
          <w:szCs w:val="32"/>
        </w:rPr>
      </w:pPr>
      <w:r>
        <w:rPr>
          <w:rFonts w:hint="eastAsia" w:ascii="黑体" w:hAnsi="黑体" w:eastAsia="黑体" w:cs="黑体"/>
          <w:sz w:val="32"/>
          <w:szCs w:val="32"/>
        </w:rPr>
        <w:t>四、其他事项</w:t>
      </w:r>
    </w:p>
    <w:p w14:paraId="03DD5E0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关于各赛段名单公示、决赛具体要求等未尽事宜均通过</w:t>
      </w:r>
    </w:p>
    <w:p w14:paraId="7469E4F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大赛官网发布通知。</w:t>
      </w:r>
    </w:p>
    <w:p w14:paraId="6A20E7E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承办单位联系人：北京师范大学颜老师，高等教育出版</w:t>
      </w:r>
    </w:p>
    <w:p w14:paraId="7A81CE2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社罗老师</w:t>
      </w:r>
    </w:p>
    <w:p w14:paraId="608EA1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电话：010-58807994，010-58556398（工作日 9:00—11:30，14:30—17:30 接听咨询）</w:t>
      </w:r>
    </w:p>
    <w:p w14:paraId="66459DE6">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"mailto:sjzg2025@163.com"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sjzg2025@163.com</w:t>
      </w:r>
      <w:r>
        <w:rPr>
          <w:rFonts w:hint="eastAsia" w:ascii="仿宋_GB2312" w:hAnsi="仿宋_GB2312" w:eastAsia="仿宋_GB2312" w:cs="仿宋_GB2312"/>
          <w:sz w:val="32"/>
          <w:szCs w:val="32"/>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11ADBF85-CFAA-457C-9AAA-5D0FA15B04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7410769-829E-428A-A155-EB8FAC7DD46B}"/>
  </w:font>
  <w:font w:name="仿宋_GB2312">
    <w:panose1 w:val="02010609030101010101"/>
    <w:charset w:val="86"/>
    <w:family w:val="auto"/>
    <w:pitch w:val="default"/>
    <w:sig w:usb0="00000001" w:usb1="080E0000" w:usb2="00000000" w:usb3="00000000" w:csb0="00040000" w:csb1="00000000"/>
    <w:embedRegular r:id="rId3" w:fontKey="{E8EAE1A1-87DF-4D26-9A27-23447904AA94}"/>
  </w:font>
  <w:font w:name="方正小标宋简体">
    <w:panose1 w:val="02000000000000000000"/>
    <w:charset w:val="86"/>
    <w:family w:val="auto"/>
    <w:pitch w:val="default"/>
    <w:sig w:usb0="00000001" w:usb1="080E0000" w:usb2="00000000" w:usb3="00000000" w:csb0="00040000" w:csb1="00000000"/>
    <w:embedRegular r:id="rId4" w:fontKey="{C465DDCC-9784-42D0-911E-91649D84127D}"/>
  </w:font>
  <w:font w:name="楷体">
    <w:panose1 w:val="02010609060101010101"/>
    <w:charset w:val="86"/>
    <w:family w:val="auto"/>
    <w:pitch w:val="default"/>
    <w:sig w:usb0="800002BF" w:usb1="38CF7CFA" w:usb2="00000016" w:usb3="00000000" w:csb0="00040001" w:csb1="00000000"/>
    <w:embedRegular r:id="rId5" w:fontKey="{31C11C04-0773-4AE6-B03F-A35BA353F6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E49D1"/>
    <w:rsid w:val="6AEE4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2025-03-26T08:01:00Z</dcterms:created>
  <dc:creator>Cinderella </dc:creator>
  <cp:lastModifiedBy>Cinderella </cp:lastModifiedBy>
  <dcterms:modified xsi:type="dcterms:W3CDTF">2025-03-26T08:04:15Z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DF470F3E5B0446569082BB9DABA7ED7B_11</vt:lpwstr>
  </property>
  <property fmtid="{D5CDD505-2E9C-101B-9397-08002B2CF9AE}" pid="4" name="KSOTemplateDocerSaveRecord">
    <vt:lpwstr>eyJoZGlkIjoiZWExNzQ3ODllYzc2YTYxZTk2Y2VlNTZkMjBkMTJlMTIiLCJ1c2VySWQiOiIyMDc5Mzc3NzAifQ==</vt:lpwstr>
  </property>
</Properties>
</file>